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21 267 vom 4. Dezember 2024</w:t>
      </w:r>
    </w:p>
    <w:p>
      <w:r>
        <w:t>VS Kantonsgericht, 2024-12-04, FR</w:t>
      </w:r>
    </w:p>
    <w:p>
      <w:r>
        <w:rPr>
          <w:b/>
        </w:rPr>
        <w:t xml:space="preserve">Quelle: </w:t>
      </w:r>
      <w:r>
        <w:t>https://mcp.opencaselaw.ch/entscheid/vs_gerichte_A1 21 267</w:t>
      </w:r>
    </w:p>
    <w:p>
      <w:r>
        <w:t>FR: VS_GERICHTE A1 21 267 du 4 décembre 2024</w:t>
      </w:r>
    </w:p>
    <w:p>
      <w:r>
        <w:t>IT: VS_GERICHTE A1 21 267 del 4 dicembre 2024</w:t>
      </w:r>
    </w:p>
    <w:p>
      <w:pPr>
        <w:pStyle w:val="Heading2"/>
      </w:pPr>
      <w:r>
        <w:t>Regeste</w:t>
      </w:r>
    </w:p>
    <w:p>
      <w:r>
        <w:t>A1 21 267 ARRET DU 4 DECEMBRE 2024 Tribunal cantonal du Valais Cour de droit public Composition : Christophe Joris, président ; Dr Thierry Schnyder et Frédéric Fellay, juges ; Matthieu Sartoretti, greffier ; en la cause X _________ SARL, recourante, contre CONSEIL D'ETAT DU VALAIS, autorité attaquée, dans l’affaire qui oppose la recourante à la COMMUNE DE Y _________, autre autorité, représentée par Maître Christian Voide, avocat à Sion. (Aménagement du territoire) recours de droit administratif contre la décision du 10 novembre 2021</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59 du 25 septembre 2024 consid. 2.1).</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w:t>
      </w:r>
    </w:p>
    <w:p>
      <w:r>
        <w:t>- 4 -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et les arrêts cités).</w:t>
      </w:r>
    </w:p>
    <w:p>
      <w:r>
        <w:rPr>
          <w:b/>
        </w:rPr>
        <w:t>E. 1.2</w:t>
      </w:r>
    </w:p>
    <w:p>
      <w:r>
        <w:t>En l’espèce, la décision d’homologation du 10 novembre 2021 objet de la présente procédure a été intégralement annulée par l’arrêt A1 22 9 désormais en force. Cette décision n’existe dès lors plus, si bien que la recourante ne dispose plus d’aucun intérêt à ce que le Tribunal statue sur son recours de droit administratif du 10 décembre 2021 qui, dans ces conditions, a perdu son objet. A juste titre, la recourante ne soutient par ailleurs pas que les conditions permettant exceptionnellement d’entrer en matière nonobstant le défaut d’intérêt pratique actuel seraient réunies.</w:t>
      </w:r>
    </w:p>
    <w:p>
      <w:r>
        <w:rPr>
          <w:b/>
        </w:rPr>
        <w:t>E. 2</w:t>
      </w:r>
    </w:p>
    <w:p>
      <w:r>
        <w:t>L'indemnité allouée à la partie comprend le remboursement de ses débours et, lorsque des circonstances particulières le justifient, un dédommagement pour la perte de temps ou de gain.</w:t>
      </w:r>
    </w:p>
    <w:p>
      <w:r>
        <w:rPr>
          <w:b/>
        </w:rPr>
        <w:t>E. 2.1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de la sorte (ATF 142 V 551 consid. 8.2 ; arrêt du Tribunal fédéral 2C_1014/2022 du 18 septembre 2024 consid. 2.1 ; ACDP A1 23 160 du 8 mai 2024 consid. 3.1).</w:t>
      </w:r>
    </w:p>
    <w:p>
      <w:r>
        <w:rPr>
          <w:b/>
        </w:rPr>
        <w:t>E. 2.2</w:t>
      </w:r>
    </w:p>
    <w:p>
      <w:r>
        <w:t>En l’espèce, si la décision d’homologation du 10 novembre 2021 n’avait pas déjà été annulée, le Tribunal de céans aurait dû le faire au terme de la présente procédure. En effet, l’arrêt A1 22 9 constate qu’aucun intérêt public ne s’oppose à la requête de l’Assemblée primaire du 19 décembre 2023 tendant à l’annulation de la planification de 2015 et à la reprise ab ovo du processus de révision, mais relève au contraire que cette requête est justifiée vu les carences affectant les PAZ et RCCZ révisés. S’ils n’avaient pas déjà donné lieu à l’annulation totale de la décision d’homologation du 10 novembre</w:t>
      </w:r>
    </w:p>
    <w:p>
      <w:r>
        <w:t>- 5 - 2021 aux termes de l’arrêt A1 22 9, ces mêmes motifs auraient donc justifié l’admission du recours de droit administratif de la société. Aussi les autorités communales sont-elles réputées succomber et la recourante obtenir gain de cause, de sorte que le présent arrêt sera rendu sans frais (art. 89 al. 4 LPJA). Une indemnité de dépens devra en revanche être allouée à la recourante, dont il convient encore d’arrêter le montant en vertu des principes usuellement applicables.</w:t>
      </w:r>
    </w:p>
    <w:p>
      <w:r>
        <w:rPr>
          <w:b/>
        </w:rPr>
        <w:t>E. 2.3</w:t>
      </w:r>
    </w:p>
    <w:p>
      <w:r>
        <w:t>A cet égard, l’art. 4 LTar dispose ce qui suit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w:t>
      </w:r>
    </w:p>
    <w:p>
      <w:r>
        <w:rPr>
          <w:b/>
        </w:rPr>
        <w:t>E. 2.3.1</w:t>
      </w:r>
    </w:p>
    <w:p>
      <w:r>
        <w:t>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la procédure de recours de droit administratif, ils oscillent entre 1100 fr. et 11'000 fr., sauf circonstances particulières justifiant une taxation inférieure ou supérieure (art. 29 al. 1 et 2 LTar). L'art. 29 al. 3 LTar dispose notamment qu'en cas de désistement, de retrait du recours, de jugement par défaut, de transaction, d'irrecevabilité et, d'une manière générale, lorsque la cause ne se termine pas par un jugement au fond, les honoraires peuvent être réduits en conséquence. La LTar pose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(arrêt du Tribunal fédéral 2D_35/2016 du 21 avril 2017 consid. 6.2 et la jurisprudence citée).</w:t>
      </w:r>
    </w:p>
    <w:p>
      <w:r>
        <w:rPr>
          <w:b/>
        </w:rPr>
        <w:t>E. 2.3.2</w:t>
      </w:r>
    </w:p>
    <w:p>
      <w:r>
        <w:t>Ainsi, le montant des honoraires du conseil juridique doit être évalué sur la base d'une pondération des critères que cite l’art. 27 al. 1 LTar. Comme le permet la jurisprudence (ATF 141 I 124 consid. 4.3), la rémunération que prévoit la LTar est donc fixée sur la base d’un forfait et non en fonction d’un tarif horaire (RVJ 2012 p. 210 consid.</w:t>
      </w:r>
    </w:p>
    <w:p>
      <w:r>
        <w:t>- 6 - 5.1, citée p. ex. in : ACDP A1 20 186 du 10 juin 2021 consid. 5.3.3 et A1 17 248 du 13 mai 2019 consid. 2.2.4). En l'absence de motifs particuliers prévus par la loi, elle doit demeurer dans les limites légales (ACDP A1 17 248 précité consid. 2.2.4 et A1 15 112 du 20 novembre 2015 consid. 5.3, citant notamment l’arrêt du Tribunal fédéral 1C_53/2015 du 12 mai 2015 consid. 2.2). Il résulte de l’art. 27 LTar que le temps consacré par l’avocat ne constitue que l’un des critères à prendre en considération, ce qui explique la différence qui peut exister entre le montant des dépens fixés et les honoraires effectivement perçus par le mandataire professionnel (arrêt du Tribunal fédéral 1C_170/2014 du 10 décembre 2014 consid. 3.2 ; ACDP A1 18 48 du 16 mars 2018 let. F). Si l’art. 5 al. 2 LTar prévoit la faculté de déposer un décompte de prestations, ce dernier ne lie cependant pas l’autorité de recours ou le juge (arrêt du Tribunal fédéral 2C_162/2013 du 8 juillet 2013 consid. 3.2 ; ACDP A1 23 190 du 25 septembre 2024 consid. 7.1.2 et A1 22 123 précité consid. 2.3.3 et les nombreuses références citées). Les frais résultant de démarches inutiles ou superflues ne sont en particulier pas pris en considération au moment de la fixation de l’indemnité de dépens (arrêt du Tribunal fédéral 5A_4/2018 du 17 avril 2018 consid. 3.4.2 ; ACDP A1 23 190 précité consid. 7.1.2 et A1 22 123 précité consid. 2.3.3). Il en va de même des activités de nature administrative, comme la transmission de pièces ou de copies, les brefs contacts téléphoniques ainsi que l’établissement de télécopies ou de brèves correspondances, telles celles nécessitant environ cinq minutes de travail (ACDP A1 22 123 précité consid.</w:t>
      </w:r>
    </w:p>
    <w:p>
      <w:r>
        <w:rPr>
          <w:b/>
        </w:rPr>
        <w:t>E. 2.3.3</w:t>
      </w:r>
    </w:p>
    <w:p>
      <w:r>
        <w:t>Selon la jurisprudence, la juridiction de recours n'est pas toujours tenue de motiver la décision par laquelle elle fixe le montant des dépens alloués à une partie obtenant totalement ou partiellement gain de cause dans un procès, ou l'indemnité allouée à l'avocat d'office. Il est admis de façon générale que l’autorité de recours ou le juge est en mesure de se rendre compte de la nature et de l'ampleur des opérations nécessaire.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w:t>
      </w:r>
    </w:p>
    <w:p>
      <w:r>
        <w:t>- 7 - fond, au terme de laquelle il fixe les frais et dépens. En revanche, lorsque l'objet du litige porte uniquement sur la question des frais et dépens, il appartient au juge de motiver sa décision en application de la jurisprudence relative à l'art. 29 al. 2 Cst. (arrêts du Tribunal fédéral 2C_247/2022 précité consid. 3.1 et 1C_58/2019 du 31 décembre 2019 consid. 2.2).</w:t>
      </w:r>
    </w:p>
    <w:p>
      <w:r>
        <w:rPr>
          <w:b/>
        </w:rPr>
        <w:t>E. 2.4</w:t>
      </w:r>
    </w:p>
    <w:p>
      <w:r>
        <w:t>En l’occurrence, le conseil de la recourante est intervenu au stade de la présente procédure uniquement et son activité s’est limitée à l’envoi de quelques brefs courriers usuels (constitution et demande de prolongation de délai ; demandes d’informations sur l’état de la procédure ; production d’une note d’honoraires et annonce de fin de mandat), ainsi qu’au dépôt d’un mémoire de recours de droit administratif. Sur cette base et considérant en outre la complexité de la procédure ainsi que le stade précoce auquel elle prend fin, le montant des honoraires pour la présente procédure sera arrêté à 1800 fr. (art. 39 LTar), débours et TVA inclus (art. 27 al. 5). Le conseil de la recourante a, certes, produit une note d’honoraires détaillée ascendant à 3972 fr. 30. Cette dernière ne justifie cependant pas une augmentation de l’indemnité précitée. Une partie des opérations effectuées devrait en effet être retranchée du total, en particulier les brèves correspondances mentionnées dans la note, conformément à la jurisprudence rappelée plus haut (cf. supra consid. 2.3.2). Il en irait de même des recherches juridiques et de la rédaction du mémoire consacrées à l’indemnisation pour expropriation matérielle. Ces démarches étaient en effet d’emblée superflues, une telle demande devant, cas échéant, être adressée au président du collège d’experts et non au Tribunal de céans, ce qui résulte expressément de l’art. 62 al. 1 LEx. Quoi qu’il en soit, il n’est pas nécessaire d’examiner plus avant le contenu de cette note d’honoraires, dès lors que le montant de 1800 fr. précité respecte la fourchette de l’art. 38 al. 1 let. c LTar et n’est pas inférieur aux montants habituellement alloués par le Tribunal pour une activité similaire dans un litige de cette nature.</w:t>
      </w:r>
    </w:p>
    <w:p>
      <w:r>
        <w:rPr>
          <w:b/>
        </w:rPr>
        <w:t>E. 3</w:t>
      </w:r>
    </w:p>
    <w:p>
      <w:r>
        <w:t>A la lumière des considérants qui précèdent, le recours est devenu sans objet, si bien que la cause doit être rayée du rôle, sans frais (art. 89 al. 4 LPJA). La commune versera par ailleurs à la recourante une indemnité de 1800 fr., débours et TVA compris, à titre de dépens pour la présente procédure.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